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098"/>
        <w:gridCol w:w="100"/>
        <w:gridCol w:w="8"/>
      </w:tblGrid>
      <w:tr w:rsidR="006D38E2" w14:paraId="6D8E2970" w14:textId="77777777" w:rsidTr="004B0FA0">
        <w:trPr>
          <w:trHeight w:val="340"/>
        </w:trPr>
        <w:tc>
          <w:tcPr>
            <w:tcW w:w="9918" w:type="dxa"/>
            <w:gridSpan w:val="5"/>
            <w:shd w:val="clear" w:color="auto" w:fill="651D32"/>
            <w:vAlign w:val="center"/>
          </w:tcPr>
          <w:p w14:paraId="2EB84079" w14:textId="77777777" w:rsidR="006D38E2" w:rsidRPr="006D38E2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</w:rPr>
            </w:pPr>
            <w:r w:rsidRPr="006D38E2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4"/>
            <w:shd w:val="clear" w:color="auto" w:fill="auto"/>
            <w:vAlign w:val="center"/>
          </w:tcPr>
          <w:p w14:paraId="6C77C4E8" w14:textId="758620B3" w:rsidR="00A70556" w:rsidRDefault="00A70556" w:rsidP="0034573D">
            <w:pPr>
              <w:spacing w:after="0" w:line="276" w:lineRule="auto"/>
            </w:pPr>
            <w:r w:rsidRPr="009C2562">
              <w:t xml:space="preserve">Evaluación </w:t>
            </w:r>
            <w:r w:rsidR="0034573D">
              <w:t>interna de Consistencia y Resultados (</w:t>
            </w:r>
            <w:proofErr w:type="spellStart"/>
            <w:r w:rsidR="0034573D">
              <w:t>ECyR</w:t>
            </w:r>
            <w:proofErr w:type="spellEnd"/>
            <w:r w:rsidR="0034573D">
              <w:t>)</w:t>
            </w:r>
          </w:p>
        </w:tc>
      </w:tr>
      <w:tr w:rsidR="004B0FA0" w:rsidRPr="00A70556" w14:paraId="7C6BD96C" w14:textId="77777777" w:rsidTr="004B0FA0">
        <w:trPr>
          <w:gridAfter w:val="2"/>
          <w:wAfter w:w="108" w:type="dxa"/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2503D3EE" w14:textId="77777777" w:rsidR="004B0FA0" w:rsidRPr="00A70556" w:rsidRDefault="004B0FA0" w:rsidP="009E3D88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1EE61978" w14:textId="77777777" w:rsidR="004B0FA0" w:rsidRPr="00A70556" w:rsidRDefault="004B0FA0" w:rsidP="009E3D88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4B0FA0" w14:paraId="1444499D" w14:textId="77777777" w:rsidTr="004B0FA0">
        <w:trPr>
          <w:gridAfter w:val="2"/>
          <w:wAfter w:w="108" w:type="dxa"/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5080F35A" w14:textId="330BCC9B" w:rsidR="004B0FA0" w:rsidRPr="004B0FA0" w:rsidRDefault="004B0FA0" w:rsidP="004B0FA0">
            <w:pPr>
              <w:spacing w:after="0" w:line="276" w:lineRule="auto"/>
              <w:jc w:val="center"/>
              <w:rPr>
                <w:b/>
                <w:bCs/>
              </w:rPr>
            </w:pPr>
            <w:r w:rsidRPr="004B0FA0">
              <w:t>12/08/2022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7E04ABEB" w14:textId="6A413698" w:rsidR="004B0FA0" w:rsidRPr="00A70556" w:rsidRDefault="004B0FA0" w:rsidP="004B0FA0">
            <w:pPr>
              <w:spacing w:after="0" w:line="276" w:lineRule="auto"/>
              <w:jc w:val="center"/>
              <w:rPr>
                <w:b/>
                <w:bCs/>
              </w:rPr>
            </w:pPr>
            <w:r w:rsidRPr="004B0FA0">
              <w:t>30/11/2022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5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A70556" w14:paraId="37454C6A" w14:textId="77777777" w:rsidTr="004B0FA0">
        <w:trPr>
          <w:trHeight w:val="340"/>
        </w:trPr>
        <w:tc>
          <w:tcPr>
            <w:tcW w:w="9918" w:type="dxa"/>
            <w:gridSpan w:val="5"/>
            <w:shd w:val="clear" w:color="auto" w:fill="auto"/>
            <w:vAlign w:val="center"/>
          </w:tcPr>
          <w:p w14:paraId="78C4F704" w14:textId="312F9BF3" w:rsidR="00A70556" w:rsidRPr="00581B4A" w:rsidRDefault="00A165BB" w:rsidP="00521401">
            <w:pPr>
              <w:pStyle w:val="Prrafodelista"/>
              <w:spacing w:after="0" w:line="276" w:lineRule="auto"/>
              <w:ind w:left="37"/>
              <w:jc w:val="both"/>
              <w:rPr>
                <w:b/>
                <w:bCs/>
              </w:rPr>
            </w:pPr>
            <w:r w:rsidRPr="0008479E">
              <w:t xml:space="preserve">Dr. Gerardo Kenny </w:t>
            </w:r>
            <w:proofErr w:type="spellStart"/>
            <w:r w:rsidRPr="0008479E">
              <w:t>Inzunza</w:t>
            </w:r>
            <w:proofErr w:type="spellEnd"/>
            <w:r w:rsidRPr="0008479E">
              <w:t xml:space="preserve"> Leyva</w:t>
            </w:r>
            <w:r w:rsidR="00A70556" w:rsidRPr="0008479E">
              <w:t xml:space="preserve">, </w:t>
            </w:r>
            <w:r w:rsidRPr="0008479E">
              <w:t>Dirección de Prevención y Promoción a la Salud de los Servicios de Salud de Sinaloa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2C33B09A" w:rsidR="00B920F2" w:rsidRDefault="0034573D" w:rsidP="00521401">
      <w:pPr>
        <w:pStyle w:val="Prrafodelista"/>
        <w:spacing w:after="0" w:line="276" w:lineRule="auto"/>
        <w:ind w:left="142"/>
        <w:jc w:val="both"/>
      </w:pPr>
      <w:r w:rsidRPr="000F3F9D">
        <w:t>Evaluar la consistencia y orientación a resultados</w:t>
      </w:r>
      <w:r>
        <w:t xml:space="preserve"> del programa </w:t>
      </w:r>
      <w:r w:rsidRPr="00475A7C">
        <w:rPr>
          <w:b/>
        </w:rPr>
        <w:t>Planificación Familiar</w:t>
      </w:r>
      <w:r w:rsidRPr="000F3F9D">
        <w:t xml:space="preserve"> en su ejercicio fiscal 2021, con la finalidad de proveer información que retroalimente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5D7B90A4" w14:textId="77777777" w:rsidR="0034573D" w:rsidRDefault="0034573D" w:rsidP="0034573D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lógica y congruencia en el diseño del programa, su vinculación con la planeación sectorial, estatal y/o nacional, la consistencia entre el diseño y la normatividad aplicable, así como las posibles complementariedades y/o coincidencias con otros programas federales.</w:t>
      </w:r>
    </w:p>
    <w:p w14:paraId="6868D325" w14:textId="77777777" w:rsidR="0034573D" w:rsidRDefault="0034573D" w:rsidP="0034573D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si el programa cuenta con instrumentos de planeación y orientación hacia resultados.</w:t>
      </w:r>
    </w:p>
    <w:p w14:paraId="18791E0B" w14:textId="77777777" w:rsidR="0034573D" w:rsidRDefault="0034573D" w:rsidP="0034573D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Examinar si el programa ha definido una estrategia de cobertura de mediano y de largo plazo y los avances presentados en el ejercicio fiscal evaluado.</w:t>
      </w:r>
    </w:p>
    <w:p w14:paraId="7982392D" w14:textId="77777777" w:rsidR="0034573D" w:rsidRDefault="0034573D" w:rsidP="0034573D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los principales procesos establecidos en las ROP o en la normatividad aplicable; así como los sistemas de información con los que cuenta el programa y sus mecanismos de rendición de cuentas.</w:t>
      </w:r>
    </w:p>
    <w:p w14:paraId="13D8617F" w14:textId="77777777" w:rsidR="0034573D" w:rsidRDefault="0034573D" w:rsidP="0034573D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si el programa cuenta con instrumentos que le permitan recabar información para medir el grado de satisfacción de los beneficiarios del programa y sus resultados.</w:t>
      </w:r>
    </w:p>
    <w:p w14:paraId="2CCD5C65" w14:textId="6F20F936" w:rsidR="009B7088" w:rsidRDefault="0034573D" w:rsidP="0034573D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Examinar los resultados del programa respecto a la atención del problema para el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9B527A6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>de Consistencia y Resultados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78B80E14" w:rsidR="00581B4A" w:rsidRPr="00581B4A" w:rsidRDefault="0034573D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De Consistencia y Resultados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</w:t>
      </w:r>
      <w:proofErr w:type="spellStart"/>
      <w:r>
        <w:t>TdR</w:t>
      </w:r>
      <w:proofErr w:type="spellEnd"/>
      <w:r>
        <w:t xml:space="preserve"> aplicados.</w:t>
      </w:r>
    </w:p>
    <w:p w14:paraId="385076F0" w14:textId="7B0E54FE" w:rsidR="006D38E2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  <w:sectPr w:rsidR="006D38E2" w:rsidSect="006047A9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18" w:right="902" w:bottom="1134" w:left="1418" w:header="567" w:footer="264" w:gutter="0"/>
          <w:cols w:space="708"/>
          <w:titlePg/>
          <w:docGrid w:linePitch="360"/>
        </w:sectPr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823754" w14:paraId="62347B8F" w14:textId="77777777" w:rsidTr="00A165BB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01EFA909" w14:textId="77777777" w:rsidR="00823754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</w:pPr>
            <w:r w:rsidRPr="00823754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09083668" w14:textId="1A40C9CC" w:rsidR="00AF2993" w:rsidRDefault="00BF043E" w:rsidP="00BF043E">
      <w:pPr>
        <w:spacing w:line="276" w:lineRule="auto"/>
        <w:ind w:left="284"/>
        <w:jc w:val="both"/>
      </w:pPr>
      <w:r w:rsidRPr="00BF043E">
        <w:t xml:space="preserve">El problema público de </w:t>
      </w:r>
      <w:r>
        <w:t>Planificación Familiar,</w:t>
      </w:r>
      <w:r w:rsidRPr="00BF043E">
        <w:t xml:space="preserve"> es la poca participación de la población de Sinaloa respecto a la planificación familiar, asimismo se pretende mejorar la calidad de vida de la población en temas de salud reproductiva y planificación familiar.</w:t>
      </w:r>
    </w:p>
    <w:p w14:paraId="428A657C" w14:textId="003F3AF8" w:rsidR="00BF043E" w:rsidRDefault="00BF043E" w:rsidP="00BF043E">
      <w:pPr>
        <w:spacing w:line="276" w:lineRule="auto"/>
        <w:ind w:left="284"/>
        <w:jc w:val="both"/>
      </w:pPr>
      <w:r>
        <w:t>A través de estos objetivos el programa se encuentra alineado al PED Sinaloa 2017 – 2021, dentro del Eje estratégico II, “</w:t>
      </w:r>
      <w:r w:rsidRPr="00440C0D">
        <w:rPr>
          <w:i/>
        </w:rPr>
        <w:t>Desarrollo humano y social</w:t>
      </w:r>
      <w:r>
        <w:t>”, tema 4 “</w:t>
      </w:r>
      <w:r w:rsidRPr="00440C0D">
        <w:rPr>
          <w:i/>
        </w:rPr>
        <w:t>Por un entorno y sociedad saludable</w:t>
      </w:r>
      <w:r>
        <w:t>”.</w:t>
      </w:r>
    </w:p>
    <w:p w14:paraId="14C5DE6A" w14:textId="1F81894B" w:rsidR="00BF043E" w:rsidRDefault="00BF043E" w:rsidP="00BF043E">
      <w:pPr>
        <w:spacing w:line="276" w:lineRule="auto"/>
        <w:ind w:left="284"/>
        <w:jc w:val="both"/>
      </w:pPr>
      <w:r>
        <w:t>Además</w:t>
      </w:r>
      <w:r w:rsidRPr="006815E6">
        <w:t>, en el PSS</w:t>
      </w:r>
      <w:r>
        <w:t xml:space="preserve"> </w:t>
      </w:r>
      <w:r w:rsidRPr="006815E6">
        <w:t>2020 – 2024 derivado del PND 2019 – 2024, se establece el objetivo prioritario 5 “</w:t>
      </w:r>
      <w:r w:rsidRPr="006815E6">
        <w:rPr>
          <w:i/>
        </w:rPr>
        <w:t>Mejorar la protección de la salud bajo un enfoque integral que priorice la prevención y sensibilización de los riesgos para la salud y el oportuno tratamiento y control de enfermedades, especialmente, las que representan el mayor impacto en la mortalidad de la población</w:t>
      </w:r>
      <w:r w:rsidRPr="006815E6">
        <w:t>” y la estrategia prioritaria 5.2 “</w:t>
      </w:r>
      <w:r w:rsidRPr="006815E6">
        <w:rPr>
          <w:i/>
        </w:rPr>
        <w:t>Garantizar a hombres y mujeres, con especial énfasis en adolescentes y jóvenes, la atención a la salud relacionada con el ejercicio de sus derechos sexuales y reproductivos, incluyendo la planificación familiar, para propiciar en la población una sexualidad saludable, elegida y libre de violencia</w:t>
      </w:r>
      <w:r w:rsidRPr="006815E6">
        <w:t>”.</w:t>
      </w:r>
    </w:p>
    <w:p w14:paraId="4A8A8460" w14:textId="77777777" w:rsidR="00BF043E" w:rsidRDefault="00BF043E" w:rsidP="00BF043E">
      <w:pPr>
        <w:ind w:left="284"/>
      </w:pPr>
      <w:r w:rsidRPr="006815E6">
        <w:t>La planificación familiar se encuentra contemplad</w:t>
      </w:r>
      <w:r>
        <w:t>a</w:t>
      </w:r>
      <w:r w:rsidRPr="006815E6">
        <w:t xml:space="preserve"> dentro de los Objetivos del Desarrollo Sostenible y se identifica un vínculo importante que hay en las líneas de acción que atiende el programa con los objetivos y metas establecidos en los objetivos de Desarrollo Sostenible</w:t>
      </w:r>
      <w:r>
        <w:t>, como serían los siguientes:</w:t>
      </w:r>
    </w:p>
    <w:p w14:paraId="3F052C38" w14:textId="77777777" w:rsidR="00BF043E" w:rsidRDefault="00BF043E" w:rsidP="00BF043E">
      <w:pPr>
        <w:pStyle w:val="Prrafodelista"/>
        <w:numPr>
          <w:ilvl w:val="0"/>
          <w:numId w:val="19"/>
        </w:numPr>
        <w:spacing w:after="200" w:line="360" w:lineRule="auto"/>
        <w:jc w:val="both"/>
      </w:pPr>
      <w:r>
        <w:t>O</w:t>
      </w:r>
      <w:r w:rsidRPr="006815E6">
        <w:t xml:space="preserve">bjetivo </w:t>
      </w:r>
      <w:r>
        <w:t xml:space="preserve">3. “Salud y bienestar”. </w:t>
      </w:r>
    </w:p>
    <w:p w14:paraId="477CC049" w14:textId="447E35E9" w:rsidR="00BF043E" w:rsidRDefault="00BF043E" w:rsidP="00BF043E">
      <w:pPr>
        <w:pStyle w:val="Prrafodelista"/>
        <w:numPr>
          <w:ilvl w:val="0"/>
          <w:numId w:val="19"/>
        </w:numPr>
        <w:spacing w:line="276" w:lineRule="auto"/>
        <w:jc w:val="both"/>
      </w:pPr>
      <w:r>
        <w:t xml:space="preserve">Objetivo específico </w:t>
      </w:r>
      <w:r w:rsidRPr="006815E6">
        <w:t>3.7 “Garantizar el acceso universal a servicios de salud sexual y reproductiva, incluidos la planificación familiar, información y educación, y la integración de la salud reproductiva en las estrategias y los programas nacionales”.</w:t>
      </w:r>
    </w:p>
    <w:p w14:paraId="55FCEA44" w14:textId="77777777" w:rsidR="00BF043E" w:rsidRDefault="00BF043E" w:rsidP="00BF043E">
      <w:pPr>
        <w:ind w:left="284"/>
      </w:pPr>
      <w:r>
        <w:t>El principal apoyo que ofrece el programa es la atención a la salud reproductiva en el tema de planificación familiar, a través de consultas y medicamento anticonceptivo, lo anterior, se realiza conforme a las siguientes actividades:</w:t>
      </w:r>
    </w:p>
    <w:p w14:paraId="62B4044C" w14:textId="77777777" w:rsidR="00BF043E" w:rsidRDefault="00BF043E" w:rsidP="00BF043E">
      <w:pPr>
        <w:pStyle w:val="Prrafodelista"/>
        <w:numPr>
          <w:ilvl w:val="0"/>
          <w:numId w:val="17"/>
        </w:numPr>
        <w:spacing w:line="360" w:lineRule="auto"/>
        <w:ind w:left="1004"/>
        <w:jc w:val="both"/>
      </w:pPr>
      <w:r>
        <w:t>Favorecer el ejercicio de los derechos sexuales y reproductivos a través de acciones de información, educación y comunicación en materia de anticoncepción y planificación familiar, dirigidas a toda la población en edad reproductiva.</w:t>
      </w:r>
    </w:p>
    <w:p w14:paraId="2F15D065" w14:textId="77777777" w:rsidR="00BF043E" w:rsidRDefault="00BF043E" w:rsidP="00BF043E">
      <w:pPr>
        <w:pStyle w:val="Prrafodelista"/>
        <w:numPr>
          <w:ilvl w:val="0"/>
          <w:numId w:val="17"/>
        </w:numPr>
        <w:spacing w:line="360" w:lineRule="auto"/>
        <w:ind w:left="1004"/>
        <w:jc w:val="both"/>
      </w:pPr>
      <w:r>
        <w:t>Uniformar y difundir lineamientos y protocolos para la atención integral de usuarias y usuarios de métodos anticonceptivos, basados en criterios médicos de elegibilidad y consejería con enfoque de derechos y perspectiva de género.</w:t>
      </w:r>
    </w:p>
    <w:p w14:paraId="72E88509" w14:textId="77777777" w:rsidR="00BF043E" w:rsidRDefault="00BF043E" w:rsidP="00BF043E">
      <w:pPr>
        <w:pStyle w:val="Prrafodelista"/>
        <w:numPr>
          <w:ilvl w:val="0"/>
          <w:numId w:val="17"/>
        </w:numPr>
        <w:spacing w:line="360" w:lineRule="auto"/>
        <w:ind w:left="1004"/>
        <w:jc w:val="both"/>
      </w:pPr>
      <w:r>
        <w:t>Establecer acciones intensivas de prestación de servicios de planificación familiar y anticoncepción dirigidos a la población masculina, en todas las instituciones públicas de salud.</w:t>
      </w:r>
    </w:p>
    <w:p w14:paraId="3B4A9BC3" w14:textId="7A7D8A45" w:rsidR="00BF043E" w:rsidRDefault="00BF043E" w:rsidP="00BF043E">
      <w:pPr>
        <w:spacing w:line="276" w:lineRule="auto"/>
        <w:ind w:left="568"/>
        <w:jc w:val="both"/>
      </w:pPr>
      <w:r>
        <w:t>Monitorear y dar seguimiento a la cobertura y calidad de los servicios de anticoncepción post-evento obstétrico, con énfasis en hospitales de alta demanda de atención.</w:t>
      </w:r>
    </w:p>
    <w:p w14:paraId="3D2E662A" w14:textId="2892911A" w:rsidR="00BF043E" w:rsidRDefault="00AC6C96" w:rsidP="00BF043E">
      <w:pPr>
        <w:spacing w:line="276" w:lineRule="auto"/>
        <w:ind w:left="568"/>
        <w:jc w:val="both"/>
      </w:pPr>
      <w:r w:rsidRPr="006815E6">
        <w:lastRenderedPageBreak/>
        <w:t xml:space="preserve">El objetivo del programa es la población en edad reproductiva del estado de Sinaloa que planifica su familia, en el ejercicio 2021 fueron 69,930 personas. En lo registrado en el ejercicio </w:t>
      </w:r>
      <w:r>
        <w:t>2021</w:t>
      </w:r>
      <w:r w:rsidRPr="006815E6">
        <w:t>, se captaron a 68,892 personas atendidas, con lo que se alcanzó una cobertura del 98.51% de población.</w:t>
      </w:r>
    </w:p>
    <w:tbl>
      <w:tblPr>
        <w:tblStyle w:val="Tablaconcuadrcula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81"/>
        <w:gridCol w:w="1124"/>
        <w:gridCol w:w="992"/>
        <w:gridCol w:w="1134"/>
        <w:gridCol w:w="1134"/>
      </w:tblGrid>
      <w:tr w:rsidR="00AC6C96" w:rsidRPr="006815E6" w14:paraId="549D396F" w14:textId="77777777" w:rsidTr="00AC6C96">
        <w:trPr>
          <w:trHeight w:val="680"/>
          <w:jc w:val="center"/>
        </w:trPr>
        <w:tc>
          <w:tcPr>
            <w:tcW w:w="1281" w:type="dxa"/>
            <w:shd w:val="clear" w:color="auto" w:fill="651D32"/>
            <w:vAlign w:val="center"/>
          </w:tcPr>
          <w:p w14:paraId="7D58AA82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b/>
                <w:bCs/>
                <w:sz w:val="20"/>
              </w:rPr>
              <w:t>Tipo de población</w:t>
            </w:r>
          </w:p>
        </w:tc>
        <w:tc>
          <w:tcPr>
            <w:tcW w:w="1124" w:type="dxa"/>
            <w:shd w:val="clear" w:color="auto" w:fill="651D32"/>
            <w:vAlign w:val="center"/>
          </w:tcPr>
          <w:p w14:paraId="4D922D05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b/>
                <w:bCs/>
                <w:sz w:val="20"/>
              </w:rPr>
              <w:t>Unidad de medida</w:t>
            </w:r>
          </w:p>
        </w:tc>
        <w:tc>
          <w:tcPr>
            <w:tcW w:w="992" w:type="dxa"/>
            <w:shd w:val="clear" w:color="auto" w:fill="651D32"/>
            <w:vAlign w:val="center"/>
          </w:tcPr>
          <w:p w14:paraId="7BD5F2F4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b/>
                <w:bCs/>
                <w:sz w:val="20"/>
              </w:rPr>
              <w:t>2019</w:t>
            </w:r>
          </w:p>
        </w:tc>
        <w:tc>
          <w:tcPr>
            <w:tcW w:w="1134" w:type="dxa"/>
            <w:shd w:val="clear" w:color="auto" w:fill="651D32"/>
            <w:vAlign w:val="center"/>
          </w:tcPr>
          <w:p w14:paraId="59D6682F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b/>
                <w:bCs/>
                <w:sz w:val="20"/>
              </w:rPr>
              <w:t>2020</w:t>
            </w:r>
          </w:p>
        </w:tc>
        <w:tc>
          <w:tcPr>
            <w:tcW w:w="1134" w:type="dxa"/>
            <w:shd w:val="clear" w:color="auto" w:fill="651D32"/>
            <w:vAlign w:val="center"/>
          </w:tcPr>
          <w:p w14:paraId="1167C27F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b/>
                <w:bCs/>
                <w:sz w:val="20"/>
              </w:rPr>
              <w:t>2021</w:t>
            </w:r>
          </w:p>
        </w:tc>
      </w:tr>
      <w:tr w:rsidR="00AC6C96" w:rsidRPr="006815E6" w14:paraId="26701C75" w14:textId="77777777" w:rsidTr="00AC6C96">
        <w:trPr>
          <w:trHeight w:val="340"/>
          <w:jc w:val="center"/>
        </w:trPr>
        <w:tc>
          <w:tcPr>
            <w:tcW w:w="1281" w:type="dxa"/>
            <w:vAlign w:val="center"/>
          </w:tcPr>
          <w:p w14:paraId="2EB1331D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Potencial</w:t>
            </w:r>
          </w:p>
        </w:tc>
        <w:tc>
          <w:tcPr>
            <w:tcW w:w="1124" w:type="dxa"/>
            <w:vAlign w:val="center"/>
          </w:tcPr>
          <w:p w14:paraId="5F02A691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Número</w:t>
            </w:r>
          </w:p>
        </w:tc>
        <w:tc>
          <w:tcPr>
            <w:tcW w:w="992" w:type="dxa"/>
            <w:vAlign w:val="center"/>
          </w:tcPr>
          <w:p w14:paraId="03BCEA03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150,337</w:t>
            </w:r>
          </w:p>
        </w:tc>
        <w:tc>
          <w:tcPr>
            <w:tcW w:w="1134" w:type="dxa"/>
            <w:vAlign w:val="center"/>
          </w:tcPr>
          <w:p w14:paraId="016A26B2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150,337</w:t>
            </w:r>
          </w:p>
        </w:tc>
        <w:tc>
          <w:tcPr>
            <w:tcW w:w="1134" w:type="dxa"/>
            <w:vAlign w:val="center"/>
          </w:tcPr>
          <w:p w14:paraId="605B3794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150,337</w:t>
            </w:r>
          </w:p>
        </w:tc>
      </w:tr>
      <w:tr w:rsidR="00AC6C96" w:rsidRPr="006815E6" w14:paraId="717D2B5A" w14:textId="77777777" w:rsidTr="00AC6C96">
        <w:trPr>
          <w:trHeight w:val="340"/>
          <w:jc w:val="center"/>
        </w:trPr>
        <w:tc>
          <w:tcPr>
            <w:tcW w:w="1281" w:type="dxa"/>
            <w:vAlign w:val="center"/>
          </w:tcPr>
          <w:p w14:paraId="360084D4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Objetivo</w:t>
            </w:r>
          </w:p>
        </w:tc>
        <w:tc>
          <w:tcPr>
            <w:tcW w:w="1124" w:type="dxa"/>
            <w:vAlign w:val="center"/>
          </w:tcPr>
          <w:p w14:paraId="4CF48811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Número</w:t>
            </w:r>
          </w:p>
        </w:tc>
        <w:tc>
          <w:tcPr>
            <w:tcW w:w="992" w:type="dxa"/>
            <w:vAlign w:val="center"/>
          </w:tcPr>
          <w:p w14:paraId="5C14BFDA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75,169</w:t>
            </w:r>
          </w:p>
        </w:tc>
        <w:tc>
          <w:tcPr>
            <w:tcW w:w="1134" w:type="dxa"/>
            <w:vAlign w:val="center"/>
          </w:tcPr>
          <w:p w14:paraId="2310F992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69,930</w:t>
            </w:r>
          </w:p>
        </w:tc>
        <w:tc>
          <w:tcPr>
            <w:tcW w:w="1134" w:type="dxa"/>
            <w:vAlign w:val="center"/>
          </w:tcPr>
          <w:p w14:paraId="5D4314AD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69,930</w:t>
            </w:r>
          </w:p>
        </w:tc>
      </w:tr>
      <w:tr w:rsidR="00AC6C96" w:rsidRPr="006815E6" w14:paraId="3050B93E" w14:textId="77777777" w:rsidTr="00AC6C96">
        <w:trPr>
          <w:trHeight w:val="340"/>
          <w:jc w:val="center"/>
        </w:trPr>
        <w:tc>
          <w:tcPr>
            <w:tcW w:w="1281" w:type="dxa"/>
            <w:vAlign w:val="center"/>
          </w:tcPr>
          <w:p w14:paraId="69F51B39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Atendid</w:t>
            </w:r>
            <w:r>
              <w:rPr>
                <w:sz w:val="20"/>
              </w:rPr>
              <w:t>a</w:t>
            </w:r>
          </w:p>
        </w:tc>
        <w:tc>
          <w:tcPr>
            <w:tcW w:w="1124" w:type="dxa"/>
            <w:vAlign w:val="center"/>
          </w:tcPr>
          <w:p w14:paraId="7B223989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Número</w:t>
            </w:r>
          </w:p>
        </w:tc>
        <w:tc>
          <w:tcPr>
            <w:tcW w:w="992" w:type="dxa"/>
            <w:vAlign w:val="center"/>
          </w:tcPr>
          <w:p w14:paraId="6B06492F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61,571</w:t>
            </w:r>
          </w:p>
        </w:tc>
        <w:tc>
          <w:tcPr>
            <w:tcW w:w="1134" w:type="dxa"/>
            <w:vAlign w:val="center"/>
          </w:tcPr>
          <w:p w14:paraId="6B327932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52,510</w:t>
            </w:r>
          </w:p>
        </w:tc>
        <w:tc>
          <w:tcPr>
            <w:tcW w:w="1134" w:type="dxa"/>
            <w:vAlign w:val="center"/>
          </w:tcPr>
          <w:p w14:paraId="0A606D60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68,892</w:t>
            </w:r>
          </w:p>
        </w:tc>
      </w:tr>
      <w:tr w:rsidR="00AC6C96" w14:paraId="3AA25C93" w14:textId="77777777" w:rsidTr="00AC6C96">
        <w:trPr>
          <w:trHeight w:val="513"/>
          <w:jc w:val="center"/>
        </w:trPr>
        <w:tc>
          <w:tcPr>
            <w:tcW w:w="1281" w:type="dxa"/>
            <w:vAlign w:val="center"/>
          </w:tcPr>
          <w:p w14:paraId="23DF504C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noProof/>
                <w:sz w:val="2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01C63F62" wp14:editId="29D9E76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-22225</wp:posOffset>
                  </wp:positionV>
                  <wp:extent cx="552450" cy="257175"/>
                  <wp:effectExtent l="0" t="0" r="0" b="9525"/>
                  <wp:wrapNone/>
                  <wp:docPr id="3" name="Image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A72E4A-E016-4CB8-9B70-E6D6E06207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5AA72E4A-E016-4CB8-9B70-E6D6E06207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4" w:type="dxa"/>
            <w:vAlign w:val="center"/>
          </w:tcPr>
          <w:p w14:paraId="4918461B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Porcentaje</w:t>
            </w:r>
          </w:p>
        </w:tc>
        <w:tc>
          <w:tcPr>
            <w:tcW w:w="992" w:type="dxa"/>
            <w:vAlign w:val="center"/>
          </w:tcPr>
          <w:p w14:paraId="43465320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81.91%</w:t>
            </w:r>
          </w:p>
        </w:tc>
        <w:tc>
          <w:tcPr>
            <w:tcW w:w="1134" w:type="dxa"/>
            <w:vAlign w:val="center"/>
          </w:tcPr>
          <w:p w14:paraId="7BEFB9E1" w14:textId="77777777" w:rsidR="00AC6C96" w:rsidRPr="006815E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75.84%</w:t>
            </w:r>
          </w:p>
        </w:tc>
        <w:tc>
          <w:tcPr>
            <w:tcW w:w="1134" w:type="dxa"/>
            <w:vAlign w:val="center"/>
          </w:tcPr>
          <w:p w14:paraId="36BAE2FA" w14:textId="77777777" w:rsidR="00AC6C96" w:rsidRDefault="00AC6C96" w:rsidP="002C4887">
            <w:pPr>
              <w:spacing w:after="0" w:line="240" w:lineRule="auto"/>
              <w:jc w:val="center"/>
            </w:pPr>
            <w:r w:rsidRPr="006815E6">
              <w:rPr>
                <w:sz w:val="20"/>
              </w:rPr>
              <w:t>98.51%</w:t>
            </w:r>
          </w:p>
        </w:tc>
      </w:tr>
    </w:tbl>
    <w:p w14:paraId="4B4BDD2D" w14:textId="47110EE7" w:rsidR="00BF043E" w:rsidRDefault="00BF043E" w:rsidP="00BF043E">
      <w:pPr>
        <w:spacing w:line="276" w:lineRule="auto"/>
        <w:ind w:left="568"/>
        <w:jc w:val="both"/>
      </w:pPr>
    </w:p>
    <w:p w14:paraId="3CA35675" w14:textId="693E77E8" w:rsidR="00AC6C96" w:rsidRPr="006815E6" w:rsidRDefault="00AC6C96" w:rsidP="00AC6C96">
      <w:pPr>
        <w:ind w:left="708"/>
        <w:jc w:val="both"/>
      </w:pPr>
      <w:r>
        <w:t>L</w:t>
      </w:r>
      <w:r w:rsidRPr="006815E6">
        <w:t xml:space="preserve">os </w:t>
      </w:r>
      <w:r>
        <w:t>Servicios de Salud</w:t>
      </w:r>
      <w:r w:rsidRPr="006815E6">
        <w:t xml:space="preserve"> reportan información sobre todas las detecciones, consultas o actividades que se realizan, lo anterior, a través de la plataforma Cubos dinámicos de la DGIS adscrita a la Secretaría de Salud. Dicha información se mantiene en constante actualización y sirven como una fuente de información para los indicadores.</w:t>
      </w:r>
    </w:p>
    <w:p w14:paraId="747592D9" w14:textId="6138A1C4" w:rsidR="00AC6C96" w:rsidRDefault="00C47833" w:rsidP="00AC6C96">
      <w:pPr>
        <w:spacing w:line="276" w:lineRule="auto"/>
        <w:ind w:left="708"/>
        <w:jc w:val="both"/>
      </w:pPr>
      <w:hyperlink r:id="rId13" w:history="1">
        <w:r w:rsidR="00AC6C96" w:rsidRPr="006815E6">
          <w:rPr>
            <w:rStyle w:val="Hipervnculo"/>
          </w:rPr>
          <w:t>http://www.dgis.salud.gob.mx/contenidos/basesdedatos/BD_Cubos_gobmx.html</w:t>
        </w:r>
      </w:hyperlink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6D05D0CF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El programa está vinculado a los objetivos y estrategias del PSS 2017 – 2021 y del PED Sinaloa 2017 – 2021.</w:t>
      </w:r>
    </w:p>
    <w:p w14:paraId="13287A5B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Se cuenta con la MIR y sus fichas técnicas donde las metas de los indicadores están orientadas a impulsar el desempeño del programa.</w:t>
      </w:r>
    </w:p>
    <w:p w14:paraId="12EAB0EE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El programa se encuentra alineado conforme a la Ley de Salud del Estado de Sinaloa.</w:t>
      </w:r>
    </w:p>
    <w:p w14:paraId="509252F5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Existen elementos metodológicos y de planeación que permiten diseñar, monitoreo, dar seguimiento, evaluar y rendir cuentas del programa.</w:t>
      </w:r>
    </w:p>
    <w:p w14:paraId="18855932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Se cuenta con un plan estratégico que contempla los resultados que se quieren alcanzar, y los indicadores para medir el avance en el logro de sus resultados.</w:t>
      </w:r>
    </w:p>
    <w:p w14:paraId="4EBBA4FC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El programa alcanzó un 98.51% de cobertura en el ejercicio fiscal 2021.</w:t>
      </w:r>
    </w:p>
    <w:p w14:paraId="0FB53EE0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En la página web de los SSS se puede localizar la información de resultados principales del programa.</w:t>
      </w:r>
    </w:p>
    <w:p w14:paraId="3739DD5C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Se utilizan elementos metodológicos y normas que apoyan la información.</w:t>
      </w:r>
    </w:p>
    <w:p w14:paraId="41EDDEED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Los procesos clave en la operación del programa coinciden con las actividades y metas de la MIR.</w:t>
      </w:r>
    </w:p>
    <w:p w14:paraId="5D8DEF08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Los indicadores de Fin y Propósito cumplen con resultados satisfactorios, mismos que se encuentran vertidos en la MIR.</w:t>
      </w:r>
    </w:p>
    <w:p w14:paraId="0983D7BA" w14:textId="2917E3F1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El personal del programa está comprometido con los objetivos establecidos.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6E752A36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El programa tiene identificado el problema que busca resolver, mismo que se encuentra identificado en el árbol del problema del programa y en el PSS 2020 – 2024 derivado del PND 2019 – 2024.</w:t>
      </w:r>
    </w:p>
    <w:p w14:paraId="1FE150D5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lastRenderedPageBreak/>
        <w:t>Se cuenta con la NOM 005-SSA2-1993, de los Servicios de Planificación Familiar.</w:t>
      </w:r>
    </w:p>
    <w:p w14:paraId="21E6AE8F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El programa se encuentra alineado conforme a la Ley General de Salud.</w:t>
      </w:r>
    </w:p>
    <w:p w14:paraId="29C359C0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El programa se encuentra vinculado con los Objetivos del Desarrollo Sostenible.</w:t>
      </w:r>
    </w:p>
    <w:p w14:paraId="4656DE43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El programa utiliza sistemas de captura y análisis de la información.</w:t>
      </w:r>
    </w:p>
    <w:p w14:paraId="0D997D12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Apoyo en el ámbito financiero por parte del nivel federal.</w:t>
      </w:r>
    </w:p>
    <w:p w14:paraId="545FCF04" w14:textId="77777777" w:rsidR="00B72B03" w:rsidRPr="00B72B03" w:rsidRDefault="00B72B03" w:rsidP="00B72B03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B72B03">
        <w:t>Apoyo en especie con insumos anticonceptivos por parte del nivel federal, asimismo, se cuenta con una amplia gama de métodos anticonceptivos a ofertar en la población que acude a solicitar los servicios del programa.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35713FD8" w14:textId="77777777" w:rsidR="00A4624B" w:rsidRDefault="00A4624B" w:rsidP="00A4624B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No contar con suficientes médicos interesados en la certificación de la técnica de vasectomía sin bisturí.</w:t>
      </w:r>
    </w:p>
    <w:p w14:paraId="54AB03EE" w14:textId="77777777" w:rsidR="00A4624B" w:rsidRDefault="00A4624B" w:rsidP="00A4624B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No contar con el servicio de vasectomía sin bisturí en todas las jurisdicciones sanitarias.</w:t>
      </w:r>
    </w:p>
    <w:p w14:paraId="47C2EBBE" w14:textId="4BB5E226" w:rsidR="00A165BB" w:rsidRPr="00A165BB" w:rsidRDefault="00A4624B" w:rsidP="00A4624B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No contar con vehículos en condiciones para realizar supervisiones en toda la entidad con mayor frecuencia.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3742515C" w14:textId="77777777" w:rsidR="00A4624B" w:rsidRDefault="00A4624B" w:rsidP="00A4624B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Los recortes presupuestales no programados por ajustes aplicados para atender emergencias u otras prioridades administrativas, podrían impactar en la gestión de los servicios y programas de acción, además de ser factor de falta de cumplimiento de metas y objetivos.</w:t>
      </w:r>
    </w:p>
    <w:p w14:paraId="3064658C" w14:textId="77777777" w:rsidR="00A4624B" w:rsidRDefault="00A4624B" w:rsidP="00A4624B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No se cuenta con un instrumento para medir el grado de satisfacción de la población atendida por el Programa.</w:t>
      </w:r>
    </w:p>
    <w:p w14:paraId="721A8F0B" w14:textId="77777777" w:rsidR="00A4624B" w:rsidRDefault="00A4624B" w:rsidP="00A4624B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Recortes de personal del programa.</w:t>
      </w:r>
    </w:p>
    <w:p w14:paraId="7FEE9AD8" w14:textId="77777777" w:rsidR="00A4624B" w:rsidRDefault="00A4624B" w:rsidP="00A4624B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A nivel federal, el recurso financiero tarda en ser ministrado.</w:t>
      </w:r>
    </w:p>
    <w:p w14:paraId="7FB7486D" w14:textId="77777777" w:rsidR="00A4624B" w:rsidRDefault="00A4624B" w:rsidP="00A4624B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Retraso en el envío de los métodos anticonceptivos por parte del nivel federal.</w:t>
      </w:r>
    </w:p>
    <w:p w14:paraId="1329A6EC" w14:textId="4CC1B339" w:rsidR="00A165BB" w:rsidRPr="00A165BB" w:rsidRDefault="00A4624B" w:rsidP="00A4624B">
      <w:pPr>
        <w:pStyle w:val="Prrafodelista"/>
        <w:numPr>
          <w:ilvl w:val="0"/>
          <w:numId w:val="8"/>
        </w:numPr>
        <w:spacing w:after="0" w:line="276" w:lineRule="auto"/>
        <w:jc w:val="both"/>
      </w:pPr>
      <w:r>
        <w:t>Por diversas causas entre el gobierno federal y los proveedores de los métodos anticonceptivos, no se logre realizar la compra de las necesidades programadas.</w:t>
      </w:r>
    </w:p>
    <w:p w14:paraId="30BA35DA" w14:textId="39697654" w:rsidR="00AF2993" w:rsidRDefault="00AF2993" w:rsidP="00521401">
      <w:pPr>
        <w:spacing w:after="0" w:line="276" w:lineRule="auto"/>
        <w:ind w:hanging="284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AF2993" w14:paraId="2071B523" w14:textId="77777777" w:rsidTr="00090637">
        <w:trPr>
          <w:trHeight w:val="340"/>
        </w:trPr>
        <w:tc>
          <w:tcPr>
            <w:tcW w:w="9910" w:type="dxa"/>
            <w:shd w:val="clear" w:color="auto" w:fill="651D32"/>
            <w:vAlign w:val="center"/>
          </w:tcPr>
          <w:p w14:paraId="0D736EE3" w14:textId="77777777" w:rsidR="00AF2993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AF2993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5568941F" w14:textId="77777777" w:rsidR="00A4624B" w:rsidRPr="00A4624B" w:rsidRDefault="00A4624B" w:rsidP="00AC6C96">
      <w:pPr>
        <w:spacing w:line="276" w:lineRule="auto"/>
        <w:ind w:left="284"/>
        <w:jc w:val="both"/>
        <w:rPr>
          <w:lang w:val="es-ES"/>
        </w:rPr>
      </w:pPr>
      <w:r w:rsidRPr="00A4624B">
        <w:rPr>
          <w:lang w:val="es-ES"/>
        </w:rPr>
        <w:t xml:space="preserve">La ECR se basa en responder 51 preguntas que abordan los temas de diseño, planeación y orientación a resultados, cobertura y focalización, operación, percepción de la población atendida, medición de resultados y en la elaboración de diversos anexos. </w:t>
      </w:r>
    </w:p>
    <w:p w14:paraId="28075071" w14:textId="77777777" w:rsidR="00A4624B" w:rsidRPr="00A4624B" w:rsidRDefault="00A4624B" w:rsidP="00AC6C96">
      <w:pPr>
        <w:spacing w:line="276" w:lineRule="auto"/>
        <w:ind w:left="284"/>
        <w:jc w:val="both"/>
        <w:rPr>
          <w:lang w:val="es-ES"/>
        </w:rPr>
      </w:pPr>
      <w:r w:rsidRPr="00A4624B">
        <w:rPr>
          <w:lang w:val="es-ES"/>
        </w:rPr>
        <w:t>De las 51 preguntas, 34 deben ser respondidas mediante un esquema binario (sí/no) sustentando con evidencia documental y haciendo explícitos los principales argumentos empleados en el análisis. Estas preguntas presentan diversos niveles de respuesta cuya puntuación más alta es de 4 y la mínima de 0 cuando la respuesta es no.</w:t>
      </w:r>
    </w:p>
    <w:p w14:paraId="25100AE1" w14:textId="017DFE81" w:rsidR="00BB6D7C" w:rsidRDefault="00A4624B" w:rsidP="00AC6C96">
      <w:pPr>
        <w:spacing w:line="276" w:lineRule="auto"/>
        <w:ind w:left="284"/>
        <w:jc w:val="both"/>
        <w:rPr>
          <w:lang w:val="es-ES"/>
        </w:rPr>
      </w:pPr>
      <w:r w:rsidRPr="00A4624B">
        <w:rPr>
          <w:lang w:val="es-ES"/>
        </w:rPr>
        <w:t xml:space="preserve">Con base en las preguntas que tienen una repuesta binaria y que presentan una calificación se obtuvieron los resultados anotados en el siguiente cuadro. Como se puede observar, la puntuación global es de 1.74 sobre una calificación máxima de 4 destacándose las notas de diseño por un lado y por el otro lado el de operación, sin embargo, es preciso anotar que este es el primer ejercicio de evaluación de este programa en </w:t>
      </w:r>
      <w:r w:rsidRPr="00A4624B">
        <w:rPr>
          <w:lang w:val="es-ES"/>
        </w:rPr>
        <w:lastRenderedPageBreak/>
        <w:t>el estado de Sinaloa por lo que no hay evaluaciones previas que permitan contestar las preguntas 16, 17, 18, 19 y 20 en la sección de Planeación y Orientación a Resultados y las preguntas 46, 47, 48, 49, 50 y 51 de la sección de Resultados.</w:t>
      </w:r>
    </w:p>
    <w:p w14:paraId="59993DEE" w14:textId="77777777" w:rsidR="00A4624B" w:rsidRDefault="00A4624B" w:rsidP="00A4624B">
      <w:pPr>
        <w:spacing w:after="0" w:line="276" w:lineRule="auto"/>
        <w:ind w:left="284"/>
        <w:jc w:val="both"/>
        <w:rPr>
          <w:lang w:val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1231"/>
      </w:tblGrid>
      <w:tr w:rsidR="00A4624B" w14:paraId="2FD94B32" w14:textId="77777777" w:rsidTr="00A4624B">
        <w:trPr>
          <w:trHeight w:val="275"/>
          <w:jc w:val="center"/>
        </w:trPr>
        <w:tc>
          <w:tcPr>
            <w:tcW w:w="3681" w:type="dxa"/>
            <w:shd w:val="clear" w:color="auto" w:fill="651D32"/>
            <w:vAlign w:val="center"/>
          </w:tcPr>
          <w:p w14:paraId="4EE87CD3" w14:textId="77777777" w:rsidR="00A4624B" w:rsidRDefault="00A4624B" w:rsidP="002C4887">
            <w:pPr>
              <w:spacing w:after="0" w:line="240" w:lineRule="auto"/>
              <w:jc w:val="center"/>
            </w:pPr>
            <w:r>
              <w:t>Tema</w:t>
            </w:r>
          </w:p>
        </w:tc>
        <w:tc>
          <w:tcPr>
            <w:tcW w:w="850" w:type="dxa"/>
            <w:shd w:val="clear" w:color="auto" w:fill="651D32"/>
            <w:vAlign w:val="center"/>
          </w:tcPr>
          <w:p w14:paraId="48098251" w14:textId="77777777" w:rsidR="00A4624B" w:rsidRDefault="00A4624B" w:rsidP="002C4887">
            <w:pPr>
              <w:spacing w:after="0" w:line="240" w:lineRule="auto"/>
              <w:jc w:val="center"/>
            </w:pPr>
            <w:r>
              <w:t>Calificación ponderada</w:t>
            </w:r>
          </w:p>
        </w:tc>
      </w:tr>
      <w:tr w:rsidR="00A4624B" w14:paraId="22EFC5DE" w14:textId="77777777" w:rsidTr="00A4624B">
        <w:trPr>
          <w:trHeight w:val="57"/>
          <w:jc w:val="center"/>
        </w:trPr>
        <w:tc>
          <w:tcPr>
            <w:tcW w:w="3681" w:type="dxa"/>
            <w:vAlign w:val="center"/>
          </w:tcPr>
          <w:p w14:paraId="3E269AFA" w14:textId="77777777" w:rsidR="00A4624B" w:rsidRDefault="00A4624B" w:rsidP="002C4887">
            <w:pPr>
              <w:spacing w:after="0" w:line="240" w:lineRule="auto"/>
            </w:pPr>
            <w:r>
              <w:t>Diseño</w:t>
            </w:r>
          </w:p>
        </w:tc>
        <w:tc>
          <w:tcPr>
            <w:tcW w:w="850" w:type="dxa"/>
            <w:vAlign w:val="center"/>
          </w:tcPr>
          <w:p w14:paraId="6A142C2E" w14:textId="77777777" w:rsidR="00A4624B" w:rsidRDefault="00A4624B" w:rsidP="002C4887">
            <w:pPr>
              <w:spacing w:after="0" w:line="240" w:lineRule="auto"/>
              <w:jc w:val="center"/>
            </w:pPr>
            <w:r>
              <w:t>2.56</w:t>
            </w:r>
          </w:p>
        </w:tc>
      </w:tr>
      <w:tr w:rsidR="00A4624B" w14:paraId="1ED456F9" w14:textId="77777777" w:rsidTr="00A4624B">
        <w:trPr>
          <w:trHeight w:val="57"/>
          <w:jc w:val="center"/>
        </w:trPr>
        <w:tc>
          <w:tcPr>
            <w:tcW w:w="3681" w:type="dxa"/>
            <w:vAlign w:val="center"/>
          </w:tcPr>
          <w:p w14:paraId="6386915D" w14:textId="77777777" w:rsidR="00A4624B" w:rsidRDefault="00A4624B" w:rsidP="002C4887">
            <w:pPr>
              <w:spacing w:after="0" w:line="240" w:lineRule="auto"/>
            </w:pPr>
            <w:r>
              <w:t>Planeación y orientación a resultados</w:t>
            </w:r>
          </w:p>
        </w:tc>
        <w:tc>
          <w:tcPr>
            <w:tcW w:w="850" w:type="dxa"/>
            <w:vAlign w:val="center"/>
          </w:tcPr>
          <w:p w14:paraId="3C839412" w14:textId="77777777" w:rsidR="00A4624B" w:rsidRDefault="00A4624B" w:rsidP="002C4887">
            <w:pPr>
              <w:spacing w:after="0" w:line="240" w:lineRule="auto"/>
              <w:jc w:val="center"/>
            </w:pPr>
            <w:r>
              <w:t>1.67</w:t>
            </w:r>
          </w:p>
        </w:tc>
      </w:tr>
      <w:tr w:rsidR="00A4624B" w14:paraId="3D4D2757" w14:textId="77777777" w:rsidTr="00A4624B">
        <w:trPr>
          <w:trHeight w:val="57"/>
          <w:jc w:val="center"/>
        </w:trPr>
        <w:tc>
          <w:tcPr>
            <w:tcW w:w="3681" w:type="dxa"/>
            <w:vAlign w:val="center"/>
          </w:tcPr>
          <w:p w14:paraId="53195F87" w14:textId="77777777" w:rsidR="00A4624B" w:rsidRDefault="00A4624B" w:rsidP="002C4887">
            <w:pPr>
              <w:spacing w:after="0" w:line="240" w:lineRule="auto"/>
            </w:pPr>
            <w:r>
              <w:t>Cobertura y focalización</w:t>
            </w:r>
          </w:p>
        </w:tc>
        <w:tc>
          <w:tcPr>
            <w:tcW w:w="850" w:type="dxa"/>
            <w:vAlign w:val="center"/>
          </w:tcPr>
          <w:p w14:paraId="0F72AC6A" w14:textId="77777777" w:rsidR="00A4624B" w:rsidRDefault="00A4624B" w:rsidP="002C488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A4624B" w14:paraId="0D64BF50" w14:textId="77777777" w:rsidTr="00A4624B">
        <w:trPr>
          <w:trHeight w:val="57"/>
          <w:jc w:val="center"/>
        </w:trPr>
        <w:tc>
          <w:tcPr>
            <w:tcW w:w="3681" w:type="dxa"/>
            <w:vAlign w:val="center"/>
          </w:tcPr>
          <w:p w14:paraId="53EAFD5C" w14:textId="77777777" w:rsidR="00A4624B" w:rsidRDefault="00A4624B" w:rsidP="002C4887">
            <w:pPr>
              <w:spacing w:after="0" w:line="240" w:lineRule="auto"/>
            </w:pPr>
            <w:r>
              <w:t>Operación</w:t>
            </w:r>
          </w:p>
        </w:tc>
        <w:tc>
          <w:tcPr>
            <w:tcW w:w="850" w:type="dxa"/>
            <w:vAlign w:val="center"/>
          </w:tcPr>
          <w:p w14:paraId="79069A92" w14:textId="77777777" w:rsidR="00A4624B" w:rsidRDefault="00A4624B" w:rsidP="002C4887">
            <w:pPr>
              <w:spacing w:after="0" w:line="240" w:lineRule="auto"/>
              <w:jc w:val="center"/>
            </w:pPr>
            <w:r>
              <w:t>3.42</w:t>
            </w:r>
          </w:p>
        </w:tc>
      </w:tr>
      <w:tr w:rsidR="00A4624B" w14:paraId="6342DFC4" w14:textId="77777777" w:rsidTr="00A4624B">
        <w:trPr>
          <w:trHeight w:val="57"/>
          <w:jc w:val="center"/>
        </w:trPr>
        <w:tc>
          <w:tcPr>
            <w:tcW w:w="3681" w:type="dxa"/>
            <w:vAlign w:val="center"/>
          </w:tcPr>
          <w:p w14:paraId="6D0C25AB" w14:textId="77777777" w:rsidR="00A4624B" w:rsidRDefault="00A4624B" w:rsidP="002C4887">
            <w:pPr>
              <w:spacing w:after="0" w:line="240" w:lineRule="auto"/>
            </w:pPr>
            <w:r>
              <w:t>Percepción de la población atendida</w:t>
            </w:r>
          </w:p>
        </w:tc>
        <w:tc>
          <w:tcPr>
            <w:tcW w:w="850" w:type="dxa"/>
            <w:vAlign w:val="center"/>
          </w:tcPr>
          <w:p w14:paraId="060E0783" w14:textId="77777777" w:rsidR="00A4624B" w:rsidRDefault="00A4624B" w:rsidP="002C488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4624B" w14:paraId="725AA31E" w14:textId="77777777" w:rsidTr="00A4624B">
        <w:trPr>
          <w:trHeight w:val="57"/>
          <w:jc w:val="center"/>
        </w:trPr>
        <w:tc>
          <w:tcPr>
            <w:tcW w:w="3681" w:type="dxa"/>
            <w:vAlign w:val="center"/>
          </w:tcPr>
          <w:p w14:paraId="178F3E5E" w14:textId="77777777" w:rsidR="00A4624B" w:rsidRDefault="00A4624B" w:rsidP="002C4887">
            <w:pPr>
              <w:spacing w:after="0" w:line="240" w:lineRule="auto"/>
            </w:pPr>
            <w:r>
              <w:t>Resultados</w:t>
            </w:r>
          </w:p>
        </w:tc>
        <w:tc>
          <w:tcPr>
            <w:tcW w:w="850" w:type="dxa"/>
            <w:vAlign w:val="center"/>
          </w:tcPr>
          <w:p w14:paraId="6D585FA8" w14:textId="77777777" w:rsidR="00A4624B" w:rsidRDefault="00A4624B" w:rsidP="002C4887">
            <w:pPr>
              <w:spacing w:after="0" w:line="240" w:lineRule="auto"/>
              <w:jc w:val="center"/>
            </w:pPr>
            <w:r>
              <w:t>0.8</w:t>
            </w:r>
          </w:p>
        </w:tc>
      </w:tr>
      <w:tr w:rsidR="00A4624B" w14:paraId="3BED9929" w14:textId="77777777" w:rsidTr="00A4624B">
        <w:trPr>
          <w:trHeight w:val="57"/>
          <w:jc w:val="center"/>
        </w:trPr>
        <w:tc>
          <w:tcPr>
            <w:tcW w:w="3681" w:type="dxa"/>
            <w:vAlign w:val="center"/>
          </w:tcPr>
          <w:p w14:paraId="1A30B61A" w14:textId="77777777" w:rsidR="00A4624B" w:rsidRDefault="00A4624B" w:rsidP="002C4887">
            <w:pPr>
              <w:spacing w:after="0" w:line="240" w:lineRule="auto"/>
              <w:jc w:val="right"/>
            </w:pPr>
            <w:r>
              <w:t>Valoración final</w:t>
            </w:r>
          </w:p>
        </w:tc>
        <w:tc>
          <w:tcPr>
            <w:tcW w:w="850" w:type="dxa"/>
            <w:vAlign w:val="center"/>
          </w:tcPr>
          <w:p w14:paraId="59C6D531" w14:textId="77777777" w:rsidR="00A4624B" w:rsidRDefault="00A4624B" w:rsidP="002C4887">
            <w:pPr>
              <w:spacing w:after="0" w:line="240" w:lineRule="auto"/>
              <w:jc w:val="center"/>
            </w:pPr>
            <w:r>
              <w:t>1.74</w:t>
            </w:r>
          </w:p>
        </w:tc>
      </w:tr>
    </w:tbl>
    <w:p w14:paraId="39F36B56" w14:textId="021A5E3A" w:rsidR="00A4624B" w:rsidRDefault="00A4624B" w:rsidP="00A4624B">
      <w:pPr>
        <w:spacing w:after="0" w:line="276" w:lineRule="auto"/>
        <w:ind w:left="284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77777777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2067B221" w14:textId="77777777" w:rsidR="00B72B03" w:rsidRPr="00B72B03" w:rsidRDefault="00B72B03" w:rsidP="00B72B03">
      <w:pPr>
        <w:pStyle w:val="Prrafodelista"/>
        <w:numPr>
          <w:ilvl w:val="0"/>
          <w:numId w:val="2"/>
        </w:numPr>
        <w:spacing w:after="0" w:line="276" w:lineRule="auto"/>
        <w:jc w:val="both"/>
      </w:pPr>
      <w:r w:rsidRPr="00B72B03">
        <w:t>Elaborar un documento (estudio o diagnóstico) que cuente con las siguientes características:</w:t>
      </w:r>
    </w:p>
    <w:p w14:paraId="45294DF7" w14:textId="77777777" w:rsidR="00B72B03" w:rsidRPr="00B72B03" w:rsidRDefault="00B72B03" w:rsidP="00B72B03">
      <w:pPr>
        <w:pStyle w:val="Prrafodelista"/>
        <w:spacing w:after="0" w:line="276" w:lineRule="auto"/>
        <w:ind w:left="833"/>
        <w:jc w:val="both"/>
      </w:pPr>
      <w:r w:rsidRPr="00B72B03">
        <w:t>1. El problema o necesidad como un hecho negativo o como una situación que puede ser revertida.</w:t>
      </w:r>
    </w:p>
    <w:p w14:paraId="5CA0DC7D" w14:textId="77777777" w:rsidR="00B72B03" w:rsidRPr="00B72B03" w:rsidRDefault="00B72B03" w:rsidP="00B72B03">
      <w:pPr>
        <w:pStyle w:val="Prrafodelista"/>
        <w:spacing w:after="0" w:line="276" w:lineRule="auto"/>
        <w:ind w:left="833"/>
        <w:jc w:val="both"/>
      </w:pPr>
      <w:r w:rsidRPr="00B72B03">
        <w:t>2. Definición de la población que tiene el problema o necesidad.</w:t>
      </w:r>
    </w:p>
    <w:p w14:paraId="2237867F" w14:textId="77777777" w:rsidR="00B72B03" w:rsidRPr="00B72B03" w:rsidRDefault="00B72B03" w:rsidP="00B72B03">
      <w:pPr>
        <w:pStyle w:val="Prrafodelista"/>
        <w:spacing w:after="0" w:line="276" w:lineRule="auto"/>
        <w:ind w:left="833"/>
        <w:jc w:val="both"/>
      </w:pPr>
      <w:r w:rsidRPr="00B72B03">
        <w:t>3. Definición del plazo para la revisión y actualización en la atención del problema o necesidad.</w:t>
      </w:r>
    </w:p>
    <w:p w14:paraId="23875C70" w14:textId="414B7E05" w:rsidR="00A4624B" w:rsidRDefault="00A4624B" w:rsidP="00A4624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Tener un plan de contingencia para hacer frente a la baja de recursos y revisar ahorros en otras partidas.</w:t>
      </w:r>
    </w:p>
    <w:p w14:paraId="1AF1EC5D" w14:textId="6B4F5253" w:rsidR="00A4624B" w:rsidRDefault="00A4624B" w:rsidP="00A4624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Establecer un instrumento que permita recabar información para medir el grado de satisfacción de la población atendida y sus resultados.</w:t>
      </w:r>
    </w:p>
    <w:p w14:paraId="4E055DB0" w14:textId="26D62CB9" w:rsidR="00A4624B" w:rsidRDefault="00A4624B" w:rsidP="00A4624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Promover y difundir la certificación de la técnica de vasectomía sin bisturí. </w:t>
      </w:r>
    </w:p>
    <w:p w14:paraId="3EE801BA" w14:textId="397A448D" w:rsidR="00A4624B" w:rsidRDefault="00A4624B" w:rsidP="00A4624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Gestionar el servicio de vasectomía sin bisturí para todas las jurisdicciones sanitarias.</w:t>
      </w:r>
    </w:p>
    <w:p w14:paraId="08AD12EB" w14:textId="069F5815" w:rsidR="00A165BB" w:rsidRDefault="00A4624B" w:rsidP="00A4624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Solicitar vehículos en condiciones para realizar supervisiones en toda la entidad y con una mayor frecuencia.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p w14:paraId="5805167A" w14:textId="40506D15" w:rsidR="00A165BB" w:rsidRPr="00A165BB" w:rsidRDefault="00A165BB" w:rsidP="00A165BB">
      <w:pPr>
        <w:spacing w:after="0" w:line="276" w:lineRule="auto"/>
        <w:rPr>
          <w:b/>
          <w:bCs/>
          <w:color w:val="FFFFFF" w:themeColor="background1"/>
        </w:rPr>
        <w:sectPr w:rsidR="00A165BB" w:rsidRPr="00A165BB" w:rsidSect="006047A9">
          <w:pgSz w:w="12240" w:h="15840"/>
          <w:pgMar w:top="1418" w:right="902" w:bottom="1134" w:left="1418" w:header="567" w:footer="264" w:gutter="0"/>
          <w:cols w:space="708"/>
          <w:titlePg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5BAA969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563C2029" w14:textId="77777777" w:rsidR="00BB6D7C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BB6D7C">
              <w:rPr>
                <w:b/>
                <w:bCs/>
                <w:color w:val="FFFFFF" w:themeColor="background1"/>
              </w:rPr>
              <w:lastRenderedPageBreak/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133709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 xml:space="preserve">Jorge Alfredo </w:t>
            </w:r>
            <w:proofErr w:type="spellStart"/>
            <w:r>
              <w:t>Gameros</w:t>
            </w:r>
            <w:proofErr w:type="spellEnd"/>
            <w:r>
              <w:t xml:space="preserve"> Rojas</w:t>
            </w:r>
          </w:p>
        </w:tc>
      </w:tr>
      <w:tr w:rsidR="006C747D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133709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C747D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C747D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C747D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C747D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C747D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C747D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77777777" w:rsidR="006C747D" w:rsidRPr="00133709" w:rsidRDefault="00133709" w:rsidP="00521401">
            <w:pPr>
              <w:spacing w:after="0" w:line="276" w:lineRule="auto"/>
              <w:ind w:left="179"/>
            </w:pPr>
            <w:r>
              <w:t>jorge.gameros@sinaloa.gob.mx</w:t>
            </w:r>
          </w:p>
        </w:tc>
      </w:tr>
      <w:tr w:rsidR="006C747D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C747D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C747D" w:rsidRPr="00133709" w:rsidRDefault="006C747D" w:rsidP="00521401">
            <w:pPr>
              <w:spacing w:after="0" w:line="276" w:lineRule="auto"/>
              <w:ind w:left="179"/>
            </w:pPr>
            <w:r w:rsidRPr="007301C5">
              <w:t>(667)</w:t>
            </w:r>
            <w:r w:rsidR="00133709"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7C4CD6" w14:paraId="449405D2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651D32"/>
            <w:vAlign w:val="center"/>
          </w:tcPr>
          <w:p w14:paraId="57932F8D" w14:textId="77777777" w:rsidR="007C4CD6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Identificación del (os) Programa(</w:t>
            </w:r>
            <w:r>
              <w:rPr>
                <w:rFonts w:eastAsia="Times New Roman"/>
                <w:b/>
                <w:color w:val="FFFFFF"/>
                <w:lang w:eastAsia="es-MX"/>
              </w:rPr>
              <w:t>s</w:t>
            </w:r>
            <w:r w:rsidRPr="00BA4A59">
              <w:rPr>
                <w:rFonts w:eastAsia="Times New Roman"/>
                <w:b/>
                <w:color w:val="FFFFFF"/>
                <w:lang w:eastAsia="es-MX"/>
              </w:rPr>
              <w:t>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6F499AE3" w:rsidR="007C4CD6" w:rsidRPr="00521401" w:rsidRDefault="00975299" w:rsidP="00521401">
            <w:pPr>
              <w:spacing w:after="0" w:line="276" w:lineRule="auto"/>
              <w:ind w:left="179"/>
            </w:pPr>
            <w:r>
              <w:rPr>
                <w:rFonts w:eastAsia="Times New Roman"/>
                <w:color w:val="000000"/>
                <w:lang w:eastAsia="es-MX"/>
              </w:rPr>
              <w:t>Planificación Familiar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40C68A88" w:rsidR="007C4CD6" w:rsidRPr="007C4CD6" w:rsidRDefault="00975299" w:rsidP="00521401">
            <w:pPr>
              <w:spacing w:after="0" w:line="276" w:lineRule="auto"/>
              <w:ind w:left="179"/>
            </w:pPr>
            <w:r>
              <w:t>PF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3E1F4568" w:rsidR="007C4CD6" w:rsidRPr="007C4CD6" w:rsidRDefault="00A165BB" w:rsidP="00521401">
            <w:pPr>
              <w:spacing w:after="0" w:line="276" w:lineRule="auto"/>
              <w:ind w:left="179"/>
            </w:pPr>
            <w:r w:rsidRPr="007B0196">
              <w:rPr>
                <w:rFonts w:eastAsia="Times New Roman"/>
                <w:bCs/>
                <w:color w:val="000000"/>
                <w:lang w:eastAsia="es-MX"/>
              </w:rPr>
              <w:t>Dirección de Prevención y Promoción de la Salud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08479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04A1004C" w:rsidR="005A28B9" w:rsidRPr="00A16BE7" w:rsidRDefault="00C47833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2FE005B3" w:rsidR="005A28B9" w:rsidRPr="00A16BE7" w:rsidRDefault="005A28B9" w:rsidP="00090637">
            <w:pPr>
              <w:spacing w:after="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7B5435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6FDF9898" w:rsidR="00090637" w:rsidRPr="00D913D9" w:rsidRDefault="00634046" w:rsidP="00287214">
            <w:pPr>
              <w:spacing w:after="0" w:line="276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6FEDF707" w:rsidR="00090637" w:rsidRPr="00090637" w:rsidRDefault="00634046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BF400F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5C7AF26D" w:rsidR="005065B9" w:rsidRPr="00521401" w:rsidRDefault="00975299" w:rsidP="005065B9">
            <w:pPr>
              <w:spacing w:after="0" w:line="276" w:lineRule="auto"/>
              <w:ind w:left="179"/>
            </w:pPr>
            <w:r w:rsidRPr="001D3CC4">
              <w:t xml:space="preserve">Gerardo Kenny </w:t>
            </w:r>
            <w:proofErr w:type="spellStart"/>
            <w:r w:rsidRPr="001D3CC4">
              <w:t>Inzunza</w:t>
            </w:r>
            <w:proofErr w:type="spellEnd"/>
            <w:r w:rsidRPr="001D3CC4">
              <w:t xml:space="preserve"> Leyva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BF400F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1851B930" w:rsidR="00A4624B" w:rsidRPr="007301C5" w:rsidRDefault="00A4624B" w:rsidP="00A4624B">
            <w:pPr>
              <w:spacing w:after="0" w:line="276" w:lineRule="auto"/>
              <w:ind w:left="179"/>
            </w:pPr>
            <w:r w:rsidRPr="00291F0A">
              <w:t>doctor_inzunza@hotmail.com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5065B9" w14:paraId="3C5D9DC6" w14:textId="77777777" w:rsidTr="00BF400F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138DA773" w14:textId="626E8A01" w:rsidR="005065B9" w:rsidRPr="007301C5" w:rsidRDefault="00831AF9" w:rsidP="005065B9">
            <w:pPr>
              <w:spacing w:after="0" w:line="276" w:lineRule="auto"/>
              <w:ind w:left="179"/>
            </w:pPr>
            <w:r>
              <w:t>Servicios de Salud de Sinaloa</w:t>
            </w:r>
          </w:p>
        </w:tc>
      </w:tr>
      <w:tr w:rsidR="00A753A2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 w:rsidR="00287214"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5065B9" w14:paraId="49F6EF2F" w14:textId="77777777" w:rsidTr="00BF400F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168A2DD7" w:rsidR="005065B9" w:rsidRPr="007301C5" w:rsidRDefault="005065B9" w:rsidP="005065B9">
            <w:pPr>
              <w:spacing w:after="0" w:line="276" w:lineRule="auto"/>
              <w:ind w:left="179"/>
            </w:pPr>
            <w:r w:rsidRPr="0058649A">
              <w:t xml:space="preserve">(667) </w:t>
            </w:r>
            <w:r w:rsidR="00A4624B">
              <w:t>758 7000 Ext. 40399</w:t>
            </w:r>
          </w:p>
        </w:tc>
      </w:tr>
    </w:tbl>
    <w:p w14:paraId="2142A7BB" w14:textId="77777777" w:rsidR="00090637" w:rsidRDefault="00090637" w:rsidP="00090637">
      <w:pPr>
        <w:spacing w:after="0" w:line="276" w:lineRule="auto"/>
        <w:jc w:val="both"/>
        <w:rPr>
          <w:lang w:val="es-ES"/>
        </w:rPr>
        <w:sectPr w:rsidR="00090637" w:rsidSect="00866990">
          <w:pgSz w:w="12240" w:h="15840"/>
          <w:pgMar w:top="1418" w:right="902" w:bottom="1134" w:left="1418" w:header="567" w:footer="266" w:gutter="0"/>
          <w:cols w:space="708"/>
          <w:titlePg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090637" w14:paraId="732B5D3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651D32"/>
            <w:vAlign w:val="center"/>
          </w:tcPr>
          <w:p w14:paraId="1529799E" w14:textId="77777777" w:rsidR="00090637" w:rsidRPr="00866990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866990">
              <w:rPr>
                <w:b/>
                <w:bCs/>
                <w:color w:val="FFFFFF" w:themeColor="background1"/>
              </w:rPr>
              <w:lastRenderedPageBreak/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7777777" w:rsidR="00A06CEF" w:rsidRPr="00866990" w:rsidRDefault="00C61D21" w:rsidP="00A06CEF">
            <w:pPr>
              <w:spacing w:after="0" w:line="276" w:lineRule="auto"/>
            </w:pPr>
            <w:r w:rsidRPr="00866990">
              <w:t>Evaluación Interna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77777777" w:rsidR="00090637" w:rsidRPr="00866990" w:rsidRDefault="00090637" w:rsidP="00521401">
            <w:pPr>
              <w:spacing w:after="0" w:line="276" w:lineRule="auto"/>
              <w:ind w:left="179"/>
            </w:pP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77777777" w:rsidR="00090637" w:rsidRPr="00866990" w:rsidRDefault="00C61D21" w:rsidP="00521401">
            <w:pPr>
              <w:spacing w:after="0" w:line="276" w:lineRule="auto"/>
              <w:ind w:left="179"/>
            </w:pPr>
            <w:r w:rsidRPr="00866990">
              <w:t>$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77777777" w:rsidR="004C435E" w:rsidRPr="00866990" w:rsidRDefault="004C435E" w:rsidP="004C435E">
            <w:pPr>
              <w:spacing w:after="0" w:line="276" w:lineRule="auto"/>
              <w:ind w:left="179"/>
            </w:pPr>
          </w:p>
        </w:tc>
      </w:tr>
      <w:tr w:rsidR="00090637" w14:paraId="2A1035F1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1A46D2C3" w14:textId="77777777" w:rsidR="004C435E" w:rsidRPr="00866990" w:rsidRDefault="004C435E" w:rsidP="000D2A1A">
            <w:pPr>
              <w:spacing w:after="0" w:line="276" w:lineRule="auto"/>
            </w:pPr>
          </w:p>
        </w:tc>
      </w:tr>
      <w:tr w:rsidR="00090637" w14:paraId="48B7EE05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4AF233BE" w14:textId="77777777" w:rsidR="00090637" w:rsidRPr="00866990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866990">
              <w:rPr>
                <w:b/>
                <w:bCs/>
                <w:color w:val="FFFFFF" w:themeColor="background1"/>
              </w:rPr>
              <w:t>D</w:t>
            </w:r>
            <w:r w:rsidR="007D00B1" w:rsidRPr="00866990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090637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8472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465098FD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C47833">
          <w:rPr>
            <w:b/>
            <w:bCs/>
            <w:noProof/>
            <w:sz w:val="18"/>
            <w:szCs w:val="18"/>
          </w:rPr>
          <w:t>5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1413BAED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C47833" w:rsidRPr="00C47833">
          <w:rPr>
            <w:b/>
            <w:bCs/>
            <w:noProof/>
            <w:sz w:val="18"/>
            <w:szCs w:val="18"/>
            <w:lang w:val="es-ES"/>
          </w:rPr>
          <w:t>7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D8C1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DDD3" w14:textId="77777777" w:rsidR="0008479E" w:rsidRDefault="0008479E" w:rsidP="0008479E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C5E">
      <w:rPr>
        <w:rFonts w:ascii="Medium" w:hAnsi="Medium" w:cs="Arial"/>
        <w:b/>
        <w:color w:val="651D32"/>
        <w:sz w:val="26"/>
        <w:szCs w:val="26"/>
      </w:rPr>
      <w:t xml:space="preserve">Formato para la Difusión de los Resultados de la Evaluación del </w:t>
    </w:r>
    <w:r>
      <w:rPr>
        <w:rFonts w:ascii="Medium" w:hAnsi="Medium" w:cs="Arial"/>
        <w:b/>
        <w:color w:val="651D32"/>
        <w:sz w:val="26"/>
        <w:szCs w:val="26"/>
      </w:rPr>
      <w:t>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D386" w14:textId="77777777" w:rsidR="0086126F" w:rsidRDefault="006047A9" w:rsidP="0085511A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A65C5E">
      <w:rPr>
        <w:rFonts w:ascii="Medium" w:hAnsi="Medium" w:cs="Arial"/>
        <w:b/>
        <w:color w:val="651D32"/>
        <w:sz w:val="26"/>
        <w:szCs w:val="26"/>
      </w:rPr>
      <w:t>Formato para la Difusión de los Resultados de la Evaluaci</w:t>
    </w:r>
    <w:r w:rsidR="002272AA" w:rsidRPr="00A65C5E">
      <w:rPr>
        <w:rFonts w:ascii="Medium" w:hAnsi="Medium" w:cs="Arial"/>
        <w:b/>
        <w:color w:val="651D32"/>
        <w:sz w:val="26"/>
        <w:szCs w:val="26"/>
      </w:rPr>
      <w:t xml:space="preserve">ón del </w:t>
    </w:r>
    <w:r w:rsidR="00A65C5E">
      <w:rPr>
        <w:rFonts w:ascii="Medium" w:hAnsi="Medium" w:cs="Arial"/>
        <w:b/>
        <w:color w:val="651D32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566.65pt;height:594.7pt" o:bullet="t">
        <v:imagedata r:id="rId1" o:title="03"/>
      </v:shape>
    </w:pict>
  </w:numPicBullet>
  <w:numPicBullet w:numPicBulletId="1">
    <w:pict>
      <v:shape id="_x0000_i1083" type="#_x0000_t75" style="width:282.4pt;height:297.35pt" o:bullet="t">
        <v:imagedata r:id="rId2" o:title="04"/>
      </v:shape>
    </w:pict>
  </w:numPicBullet>
  <w:abstractNum w:abstractNumId="0" w15:restartNumberingAfterBreak="0">
    <w:nsid w:val="11D00CA9"/>
    <w:multiLevelType w:val="multilevel"/>
    <w:tmpl w:val="080A001F"/>
    <w:numStyleLink w:val="Estilo1"/>
  </w:abstractNum>
  <w:abstractNum w:abstractNumId="1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8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1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9"/>
  </w:num>
  <w:num w:numId="5">
    <w:abstractNumId w:val="0"/>
  </w:num>
  <w:num w:numId="6">
    <w:abstractNumId w:val="16"/>
  </w:num>
  <w:num w:numId="7">
    <w:abstractNumId w:val="17"/>
  </w:num>
  <w:num w:numId="8">
    <w:abstractNumId w:val="18"/>
  </w:num>
  <w:num w:numId="9">
    <w:abstractNumId w:val="10"/>
  </w:num>
  <w:num w:numId="10">
    <w:abstractNumId w:val="4"/>
  </w:num>
  <w:num w:numId="11">
    <w:abstractNumId w:val="5"/>
  </w:num>
  <w:num w:numId="12">
    <w:abstractNumId w:val="15"/>
  </w:num>
  <w:num w:numId="13">
    <w:abstractNumId w:val="14"/>
  </w:num>
  <w:num w:numId="14">
    <w:abstractNumId w:val="12"/>
  </w:num>
  <w:num w:numId="15">
    <w:abstractNumId w:val="7"/>
  </w:num>
  <w:num w:numId="16">
    <w:abstractNumId w:val="1"/>
  </w:num>
  <w:num w:numId="17">
    <w:abstractNumId w:val="2"/>
  </w:num>
  <w:num w:numId="18">
    <w:abstractNumId w:val="8"/>
  </w:num>
  <w:num w:numId="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419F"/>
    <w:rsid w:val="00121D44"/>
    <w:rsid w:val="00131E38"/>
    <w:rsid w:val="00133709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D1AFC"/>
    <w:rsid w:val="002D3EA7"/>
    <w:rsid w:val="002D457E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B94"/>
    <w:rsid w:val="003671EF"/>
    <w:rsid w:val="00375FD1"/>
    <w:rsid w:val="003800F3"/>
    <w:rsid w:val="003867E1"/>
    <w:rsid w:val="003917C6"/>
    <w:rsid w:val="003954C6"/>
    <w:rsid w:val="003964B5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2AE5"/>
    <w:rsid w:val="004E5966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7E0D"/>
    <w:rsid w:val="006F3A57"/>
    <w:rsid w:val="006F4B1F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50021"/>
    <w:rsid w:val="0096110F"/>
    <w:rsid w:val="00975299"/>
    <w:rsid w:val="009768FB"/>
    <w:rsid w:val="0098143F"/>
    <w:rsid w:val="00983315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4B92"/>
    <w:rsid w:val="00C103A7"/>
    <w:rsid w:val="00C17070"/>
    <w:rsid w:val="00C2107C"/>
    <w:rsid w:val="00C232EC"/>
    <w:rsid w:val="00C30726"/>
    <w:rsid w:val="00C30C58"/>
    <w:rsid w:val="00C36E65"/>
    <w:rsid w:val="00C47833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B345E"/>
    <w:rsid w:val="00EB4CD4"/>
    <w:rsid w:val="00EC21F6"/>
    <w:rsid w:val="00EC3814"/>
    <w:rsid w:val="00EC63B6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gis.salud.gob.mx/contenidos/basesdedatos/BD_Cubos_gobm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ECA6-0788-4BA4-88FC-73B0897C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42</TotalTime>
  <Pages>7</Pages>
  <Words>2144</Words>
  <Characters>11798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13</cp:revision>
  <cp:lastPrinted>2022-06-17T19:35:00Z</cp:lastPrinted>
  <dcterms:created xsi:type="dcterms:W3CDTF">2022-06-27T19:56:00Z</dcterms:created>
  <dcterms:modified xsi:type="dcterms:W3CDTF">2022-12-01T18:18:00Z</dcterms:modified>
</cp:coreProperties>
</file>